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98" w:rsidRDefault="00CE7A98" w:rsidP="00CE7A98">
      <w:pPr>
        <w:pStyle w:val="afa"/>
        <w:shd w:val="clear" w:color="auto" w:fill="FFFFFF"/>
        <w:spacing w:before="0" w:beforeAutospacing="0" w:after="0" w:afterAutospacing="0" w:line="240" w:lineRule="exact"/>
        <w:ind w:firstLine="480"/>
        <w:rPr>
          <w:rFonts w:ascii="微软雅黑" w:eastAsia="微软雅黑" w:hAnsi="微软雅黑"/>
          <w:color w:val="333333"/>
          <w:sz w:val="22"/>
          <w:szCs w:val="22"/>
          <w:bdr w:val="none" w:sz="0" w:space="0" w:color="auto" w:frame="1"/>
        </w:rPr>
      </w:pPr>
    </w:p>
    <w:p w:rsidR="00CE7A98" w:rsidRPr="00CE7A98" w:rsidRDefault="00CE7A98" w:rsidP="00CE7A98">
      <w:pPr>
        <w:pStyle w:val="afa"/>
        <w:shd w:val="clear" w:color="auto" w:fill="FFFFFF"/>
        <w:spacing w:before="0" w:beforeAutospacing="0" w:after="0" w:afterAutospacing="0" w:line="500" w:lineRule="exact"/>
        <w:ind w:firstLine="482"/>
        <w:jc w:val="center"/>
        <w:rPr>
          <w:rFonts w:ascii="微软雅黑" w:eastAsia="微软雅黑" w:hAnsi="微软雅黑"/>
          <w:b/>
          <w:color w:val="333333"/>
          <w:sz w:val="28"/>
          <w:szCs w:val="28"/>
          <w:bdr w:val="none" w:sz="0" w:space="0" w:color="auto" w:frame="1"/>
        </w:rPr>
      </w:pPr>
      <w:r w:rsidRPr="00CE7A98">
        <w:rPr>
          <w:rFonts w:ascii="微软雅黑" w:eastAsia="微软雅黑" w:hAnsi="微软雅黑" w:hint="eastAsia"/>
          <w:b/>
          <w:color w:val="333333"/>
          <w:sz w:val="28"/>
          <w:szCs w:val="28"/>
          <w:shd w:val="clear" w:color="auto" w:fill="FFFFFF"/>
        </w:rPr>
        <w:t>中共中央办公厅 国务院办公厅印发《保护司法人员依法履行法定职责规定》</w:t>
      </w:r>
    </w:p>
    <w:p w:rsidR="00CE7A98" w:rsidRDefault="00CE7A98" w:rsidP="00CE7A98">
      <w:pPr>
        <w:pStyle w:val="afa"/>
        <w:shd w:val="clear" w:color="auto" w:fill="FFFFFF"/>
        <w:spacing w:before="0" w:beforeAutospacing="0" w:after="0" w:afterAutospacing="0" w:line="240" w:lineRule="exact"/>
        <w:ind w:firstLine="480"/>
        <w:rPr>
          <w:rFonts w:ascii="微软雅黑" w:eastAsia="微软雅黑" w:hAnsi="微软雅黑"/>
          <w:color w:val="333333"/>
          <w:sz w:val="22"/>
          <w:szCs w:val="22"/>
          <w:bdr w:val="none" w:sz="0" w:space="0" w:color="auto" w:frame="1"/>
        </w:rPr>
      </w:pP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bdr w:val="none" w:sz="0" w:space="0" w:color="auto" w:frame="1"/>
        </w:rPr>
        <w:t>新华社北京7月28日电 近日，中共中央办公厅、国务院办公厅印发了《保护司法人员依法履行法定职责规定》，并发出通知，要求各地区各部门遵照执行。</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《保护司法人员依法履行法定职责规定》全文如下。</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第一条</w:t>
      </w:r>
      <w:r w:rsidRPr="00CE7A98">
        <w:rPr>
          <w:rFonts w:ascii="微软雅黑" w:eastAsia="微软雅黑" w:hAnsi="微软雅黑" w:hint="eastAsia"/>
          <w:color w:val="333333"/>
          <w:sz w:val="22"/>
          <w:szCs w:val="22"/>
        </w:rPr>
        <w:t>  为了贯彻落实《中共中央关于全面推进依法治国若干重大问题的决定》有关要求，建立健全司法人员依法履行法定职责保护机制，根据国家有关法律法规和中央有关规定，结合司法工作实际，制定本规定。</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第二条</w:t>
      </w:r>
      <w:r w:rsidRPr="00CE7A98">
        <w:rPr>
          <w:rFonts w:ascii="微软雅黑" w:eastAsia="微软雅黑" w:hAnsi="微软雅黑" w:hint="eastAsia"/>
          <w:color w:val="333333"/>
          <w:sz w:val="22"/>
          <w:szCs w:val="22"/>
        </w:rPr>
        <w:t>  法官、检察官依法办理案件不受行政机关、社会团体和个人的干涉，有权拒绝任何单位或者个人违反法定职责或者法定程序、有碍司法公正的要求。对任何单位或者个人干预司法活动、插手具体案件处理的情况，司法人员应当全面、如实记录。有关机关应当根据相关规定对干预司法活动和插手具体案件处理的相关责任人予以通报直至追究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第三条</w:t>
      </w:r>
      <w:r w:rsidRPr="00CE7A98">
        <w:rPr>
          <w:rFonts w:ascii="微软雅黑" w:eastAsia="微软雅黑" w:hAnsi="微软雅黑" w:hint="eastAsia"/>
          <w:color w:val="333333"/>
          <w:sz w:val="22"/>
          <w:szCs w:val="22"/>
        </w:rPr>
        <w:t>  任何单位或者个人不得要求法官、检察官从事超出法定职责范围的事务。人民法院、人民检察院有权拒绝任何单位或者个人安排法官、检察官从事超出法定职责范围事务的要求。</w:t>
      </w:r>
    </w:p>
    <w:p w:rsidR="00CE7A98" w:rsidRPr="00D37EE5" w:rsidRDefault="00CE7A98" w:rsidP="001237D5">
      <w:pPr>
        <w:pStyle w:val="afa"/>
        <w:shd w:val="clear" w:color="auto" w:fill="FFFFFF"/>
        <w:spacing w:before="0" w:beforeAutospacing="0" w:after="0" w:afterAutospacing="0" w:line="280" w:lineRule="exact"/>
        <w:ind w:firstLine="482"/>
        <w:rPr>
          <w:rFonts w:ascii="微软雅黑" w:eastAsia="微软雅黑" w:hAnsi="微软雅黑"/>
          <w:sz w:val="22"/>
          <w:szCs w:val="22"/>
        </w:rPr>
      </w:pPr>
      <w:r w:rsidRPr="00D37EE5">
        <w:rPr>
          <w:rFonts w:ascii="微软雅黑" w:eastAsia="微软雅黑" w:hAnsi="微软雅黑" w:hint="eastAsia"/>
          <w:b/>
          <w:sz w:val="22"/>
          <w:szCs w:val="22"/>
        </w:rPr>
        <w:t>第四条</w:t>
      </w:r>
      <w:r w:rsidRPr="00D37EE5">
        <w:rPr>
          <w:rFonts w:ascii="微软雅黑" w:eastAsia="微软雅黑" w:hAnsi="微软雅黑" w:hint="eastAsia"/>
          <w:sz w:val="22"/>
          <w:szCs w:val="22"/>
        </w:rPr>
        <w:t>  法官、检察官依法履行法定职责受法律保护。非因法定事由，非经法定程序，不得将法官、检察官调离、免职、辞退或者作出降级、撤职等处分。</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第五条</w:t>
      </w:r>
      <w:r w:rsidRPr="00CE7A98">
        <w:rPr>
          <w:rFonts w:ascii="微软雅黑" w:eastAsia="微软雅黑" w:hAnsi="微软雅黑" w:hint="eastAsia"/>
          <w:color w:val="333333"/>
          <w:sz w:val="22"/>
          <w:szCs w:val="22"/>
        </w:rPr>
        <w:t>  只有具备下列情形之一的，方可将法官、检察官调离：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（一）按规定需要任职回避的；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（二）因干部培养需要，按规定实行干部交流的；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（三）因机构调整或者缩减编制员额需要调整工作的；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（四）受到免职、降级等处分，不适合在司法办案岗位工作的；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（五）违反法律、党纪处分条例和审判、检察纪律规定，不适合在司法办案岗位工作的其他情形。</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第六条</w:t>
      </w:r>
      <w:r w:rsidRPr="00CE7A98">
        <w:rPr>
          <w:rFonts w:ascii="微软雅黑" w:eastAsia="微软雅黑" w:hAnsi="微软雅黑" w:hint="eastAsia"/>
          <w:color w:val="333333"/>
          <w:sz w:val="22"/>
          <w:szCs w:val="22"/>
        </w:rPr>
        <w:t>  只有具备下列情形之一的，方可将法官、检察官免职：</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（一）丧失中华人民共和国国籍的；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（二）调出本法院、检察院的；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（三）职务变动不需要保留原职务的；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（四）经考核确定为不称职的；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（五）因健康原因超过一年不能正常履行工作职责的；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（六）按规定应当退休的；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（七）辞职或者被辞退的；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（八）因违纪违法犯罪不能继续任职的；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（九）违反法律、党纪处分条例和审判、检察纪律规定，不适合继续担任法官、检察官职务的其他情形。</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第七条</w:t>
      </w:r>
      <w:r w:rsidRPr="00CE7A98">
        <w:rPr>
          <w:rFonts w:ascii="微软雅黑" w:eastAsia="微软雅黑" w:hAnsi="微软雅黑" w:hint="eastAsia"/>
          <w:color w:val="333333"/>
          <w:sz w:val="22"/>
          <w:szCs w:val="22"/>
        </w:rPr>
        <w:t>  只有具备下列情形之一的，方可将法官、检察官辞退：</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（一）在年度考核中，连续两年被确定为不称职的；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（二）不胜任现职工作，又不接受另行安排的；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（三）因机构调整或者缩减编制员额需要调整工作，本人拒绝合理安排的；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（四）旷工或者无正当理由逾假不归连续超过十五天，或者一年内累计超过三十天的；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（五）不履行法官、检察官法定义务，经教育仍不改正的；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（六）违反法律、党纪处分条例和审判、检察纪律规定，不适合继续担任公职的其他情形。</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第八条</w:t>
      </w:r>
      <w:r w:rsidRPr="00CE7A98">
        <w:rPr>
          <w:rFonts w:ascii="微软雅黑" w:eastAsia="微软雅黑" w:hAnsi="微软雅黑" w:hint="eastAsia"/>
          <w:color w:val="333333"/>
          <w:sz w:val="22"/>
          <w:szCs w:val="22"/>
        </w:rPr>
        <w:t>  只有具备下列情形之一的，方可对法官、检察官作出降级、撤职处分：</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（一）违犯党纪，受到撤销党内职务及以上处分的；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（二）违反审判、检察纪律，情节较重的；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（三）存在失职行为，造成严重后果的；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（四）违反法律、党纪处分条例和审判、检察纪律规定，应当予以降级、撤职的其他情形。</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第九条</w:t>
      </w:r>
      <w:r w:rsidRPr="00CE7A98">
        <w:rPr>
          <w:rFonts w:ascii="微软雅黑" w:eastAsia="微软雅黑" w:hAnsi="微软雅黑" w:hint="eastAsia"/>
          <w:color w:val="333333"/>
          <w:sz w:val="22"/>
          <w:szCs w:val="22"/>
        </w:rPr>
        <w:t>  将法官、检察官调离、免职、辞退或者作出降级、撤职等处分的，应当按照法律规定的程序和管理权限进行。决定应当以书面形式通知法官、检察官，并列明作出决定的理由和依据。</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法官、检察官不服调离、免职、辞退或者降级、撤职等决定的，可以依法申请复议、复核，提出申诉、再申诉。法官、检察官不因申请复议、复核或者提出申诉、再申诉而被加重处罚。</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第十条</w:t>
      </w:r>
      <w:r w:rsidRPr="00CE7A98">
        <w:rPr>
          <w:rFonts w:ascii="微软雅黑" w:eastAsia="微软雅黑" w:hAnsi="微软雅黑" w:hint="eastAsia"/>
          <w:color w:val="333333"/>
          <w:sz w:val="22"/>
          <w:szCs w:val="22"/>
        </w:rPr>
        <w:t>  考核法官、检察官办案质量，评价工作业绩，应当客观公正、符合司法规律。对法官、检察官的德、能、勤、绩、廉进行年度考核，不得超出其法定职责与职业伦理的要求。考核的办法和标准由最高人民法院、最高人民检察院统一制定，地方可以结合实际进行适当调整。不得以办案数量排名、末位淘汰、接待信访不力等方法和理由调整法官、检察官工作岗位。</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lastRenderedPageBreak/>
        <w:t>第十一条</w:t>
      </w:r>
      <w:r w:rsidRPr="00CE7A98">
        <w:rPr>
          <w:rFonts w:ascii="微软雅黑" w:eastAsia="微软雅黑" w:hAnsi="微软雅黑" w:hint="eastAsia"/>
          <w:color w:val="333333"/>
          <w:sz w:val="22"/>
          <w:szCs w:val="22"/>
        </w:rPr>
        <w:t>  法官、检察官非因故意违反法律、法规或者有重大过失导致错案并造成严重后果的，不承担错案责任。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第十二条</w:t>
      </w:r>
      <w:r w:rsidRPr="00CE7A98">
        <w:rPr>
          <w:rFonts w:ascii="微软雅黑" w:eastAsia="微软雅黑" w:hAnsi="微软雅黑" w:hint="eastAsia"/>
          <w:color w:val="333333"/>
          <w:sz w:val="22"/>
          <w:szCs w:val="22"/>
        </w:rPr>
        <w:t>  案件办理及相关审批、管理、指导、监督工作实行全程留痕。法官、检察官依照司法责任制，对履行审判、检察职责中认定的事实证据、发表的意见、作出的决定负责。上级机关、单位负责人、审判委员会或者检察委员会等依职权改变法官、检察官决定的，法官、检察官对后果不承担责任，但法官、检察官故意隐瞒或者因有重大过失而致遗漏重要证据、重要情节，或者提供其他虚假情况导致该决定错误的除外。</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第十三条</w:t>
      </w:r>
      <w:r w:rsidRPr="00CE7A98">
        <w:rPr>
          <w:rFonts w:ascii="微软雅黑" w:eastAsia="微软雅黑" w:hAnsi="微软雅黑" w:hint="eastAsia"/>
          <w:color w:val="333333"/>
          <w:sz w:val="22"/>
          <w:szCs w:val="22"/>
        </w:rPr>
        <w:t>  调查核实对法官、检察官履职的举报、控告和申诉过程中，当事法官、检察官享有知情、申辩和举证的权利。人民法院、人民检察院纪检监察机构应当将当事法官、检察官的陈述、申辩和举证如实记录，并对是否采纳作出说明。</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第十四条</w:t>
      </w:r>
      <w:r w:rsidRPr="00CE7A98">
        <w:rPr>
          <w:rFonts w:ascii="微软雅黑" w:eastAsia="微软雅黑" w:hAnsi="微软雅黑" w:hint="eastAsia"/>
          <w:color w:val="333333"/>
          <w:sz w:val="22"/>
          <w:szCs w:val="22"/>
        </w:rPr>
        <w:t>  法官、检察官履行法定职责的行为，非经法官、检察官惩戒委员会审议不受错案责任追究。法官、检察官因违反党纪，审判、检察纪律，治安及刑事法律，应当追究错案责任之外的其他责任的，依照相关规定办理。</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法官、检察官惩戒委员会审议法官、检察官错案责任案件，应当进行听证。人民法院、人民检察院相关机构应当派员向法官、检察官惩戒委员会通报当事法官、检察官违纪违法事实以及拟处理意见、依据。当事法官、检察官有权陈述、申辩。法官、检察官惩戒委员会根据查明的事实和法律规定，作出无责、免责或者给予惩戒处分的建议。</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第十五条</w:t>
      </w:r>
      <w:r w:rsidRPr="00CE7A98">
        <w:rPr>
          <w:rFonts w:ascii="微软雅黑" w:eastAsia="微软雅黑" w:hAnsi="微软雅黑" w:hint="eastAsia"/>
          <w:color w:val="333333"/>
          <w:sz w:val="22"/>
          <w:szCs w:val="22"/>
        </w:rPr>
        <w:t>  法官、检察官因依法履职遭受不实举报、诬告陷害、利用信息网络等方式侮辱诽谤，致使名誉受到损害的，人民法院、人民检察院、公安机关应当会同有关部门及时澄清事实，消除不良影响，维护法官、检察官良好声誉，并依法追究相关单位或者个人的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第十六条</w:t>
      </w:r>
      <w:r w:rsidRPr="00CE7A98">
        <w:rPr>
          <w:rFonts w:ascii="微软雅黑" w:eastAsia="微软雅黑" w:hAnsi="微软雅黑" w:hint="eastAsia"/>
          <w:color w:val="333333"/>
          <w:sz w:val="22"/>
          <w:szCs w:val="22"/>
        </w:rPr>
        <w:t>  有关机关对法官、检察官作出错误处理的，应当恢复被处理人的职务和名誉、消除不良影响，对造成的经济损失给予赔偿，并依法追究诬告陷害者的责任。法官、检察官因接受调查暂缓晋级，经有关部门认定不应追究法律或者纪律责任的，晋级时间从暂缓之日起计算。</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第十七条</w:t>
      </w:r>
      <w:r w:rsidRPr="00CE7A98">
        <w:rPr>
          <w:rFonts w:ascii="微软雅黑" w:eastAsia="微软雅黑" w:hAnsi="微软雅黑" w:hint="eastAsia"/>
          <w:color w:val="333333"/>
          <w:sz w:val="22"/>
          <w:szCs w:val="22"/>
        </w:rPr>
        <w:t>  对干扰阻碍司法活动，威胁、报复陷害、侮辱诽谤、暴力伤害司法人员及其近亲属的行为，应当依法从严惩处。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对以恐吓威胁、滋事骚扰、跟踪尾随、攻击辱骂、损毁财物及其他方式妨害司法人员及其近亲属人身自由和正常生活的，公安机关接警后应当快速出警、有效制止；对正在实施违法犯罪行为的，应当依法果断处置、从严惩处。对实施暴力行为危害司法人员及其近亲属人身安全的精神病人，在人民法院决定强制医疗之前，经县级以上公</w:t>
      </w:r>
      <w:r w:rsidR="001237D5">
        <w:rPr>
          <w:rFonts w:ascii="微软雅黑" w:eastAsia="微软雅黑" w:hAnsi="微软雅黑" w:hint="eastAsia"/>
          <w:color w:val="333333"/>
          <w:sz w:val="22"/>
          <w:szCs w:val="22"/>
        </w:rPr>
        <w:t>安机关负责人批准，公安机关可以采取临时保护性约束措施，必要时可</w:t>
      </w:r>
      <w:r w:rsidRPr="00CE7A98">
        <w:rPr>
          <w:rFonts w:ascii="微软雅黑" w:eastAsia="微软雅黑" w:hAnsi="微软雅黑" w:hint="eastAsia"/>
          <w:color w:val="333333"/>
          <w:sz w:val="22"/>
          <w:szCs w:val="22"/>
        </w:rPr>
        <w:t>将其送精神病医院接受治疗。</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第十八条</w:t>
      </w:r>
      <w:r w:rsidRPr="00CE7A98">
        <w:rPr>
          <w:rFonts w:ascii="微软雅黑" w:eastAsia="微软雅黑" w:hAnsi="微软雅黑" w:hint="eastAsia"/>
          <w:color w:val="333333"/>
          <w:sz w:val="22"/>
          <w:szCs w:val="22"/>
        </w:rPr>
        <w:t>  人民法院、人民检察院办理恐怖活动犯罪、黑社会性质组织犯罪、重大毒品犯罪、邪教组织犯罪等危险性高的案件，应当对法官、检察官及其近亲属采取出庭保护、禁止特定人员接触以及其他必要的保护措施。对法官、检察官近亲属还可以采取隐匿身份的保护措施。</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办理危险性较高的其他案件，经司法人员本人申请，可以对司法人员及其近亲属采取上述保护措施。</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第十九条</w:t>
      </w:r>
      <w:r w:rsidRPr="00CE7A98">
        <w:rPr>
          <w:rFonts w:ascii="微软雅黑" w:eastAsia="微软雅黑" w:hAnsi="微软雅黑" w:hint="eastAsia"/>
          <w:color w:val="333333"/>
          <w:sz w:val="22"/>
          <w:szCs w:val="22"/>
        </w:rPr>
        <w:t>  司法人员的个人信息受法律保护。侵犯司法人员人格尊严，泄露依法不应公开的司法人员及其近亲属信息的，依照法律和相关规定追究有关人员责任。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第二十条</w:t>
      </w:r>
      <w:r w:rsidRPr="00CE7A98">
        <w:rPr>
          <w:rFonts w:ascii="微软雅黑" w:eastAsia="微软雅黑" w:hAnsi="微软雅黑" w:hint="eastAsia"/>
          <w:color w:val="333333"/>
          <w:sz w:val="22"/>
          <w:szCs w:val="22"/>
        </w:rPr>
        <w:t>  依法保障法官、检察官的休息权和休假权。法官、检察官在法定工作日之外加班的，应当补休；不能补休的，应当在绩效考核奖金分配时予以平衡。</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第二十一条</w:t>
      </w:r>
      <w:r w:rsidRPr="00CE7A98">
        <w:rPr>
          <w:rFonts w:ascii="微软雅黑" w:eastAsia="微软雅黑" w:hAnsi="微软雅黑" w:hint="eastAsia"/>
          <w:color w:val="333333"/>
          <w:sz w:val="22"/>
          <w:szCs w:val="22"/>
        </w:rPr>
        <w:t>  国家落实医疗保障办法，完善抚恤优待办法，为法官、检察官的人身、财产、医疗等权益提供与其职业风险相匹配的保障。</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第二十二条</w:t>
      </w:r>
      <w:r w:rsidRPr="00CE7A98">
        <w:rPr>
          <w:rFonts w:ascii="微软雅黑" w:eastAsia="微软雅黑" w:hAnsi="微软雅黑" w:hint="eastAsia"/>
          <w:color w:val="333333"/>
          <w:sz w:val="22"/>
          <w:szCs w:val="22"/>
        </w:rPr>
        <w:t xml:space="preserve">　人民法院、人民检察院、公安机关领导干部或者直接责任者因玩忽职守、敷衍推诿、故意拖延或者滥用职权，导致依法履职的司法人员或者其近亲属的人身、财产权益受到重大损害的，应当给予纪律处分；构成犯罪的，依法追究刑事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第二十三条</w:t>
      </w:r>
      <w:r w:rsidRPr="00CE7A98">
        <w:rPr>
          <w:rFonts w:ascii="微软雅黑" w:eastAsia="微软雅黑" w:hAnsi="微软雅黑" w:hint="eastAsia"/>
          <w:color w:val="333333"/>
          <w:sz w:val="22"/>
          <w:szCs w:val="22"/>
        </w:rPr>
        <w:t>  国家机关及其工作人员有下列行为之一的，司法人员有权提出控告，对直接责任者和领导责任者，应当给予纪律处分；构成犯罪的，依法追究刑事责任：</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（一）干预司法活动妨碍司法公正的；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（二）要求法官、检察官从事超出法定职责范围事务的；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（三）违反本规定，将法官、检察官调离、免职、辞退或者作出降级、撤职等处分的；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（四）对司法人员的依法履职保障诉求不作为的；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（五）侵犯司法人员控告或者申诉权利的；</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CE7A98">
        <w:rPr>
          <w:rFonts w:ascii="微软雅黑" w:eastAsia="微软雅黑" w:hAnsi="微软雅黑" w:hint="eastAsia"/>
          <w:color w:val="333333"/>
          <w:sz w:val="22"/>
          <w:szCs w:val="22"/>
        </w:rPr>
        <w:t>（六）其他严重侵犯法官、检察官法定权利的行为。</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第二十四条</w:t>
      </w:r>
      <w:r w:rsidRPr="00CE7A98">
        <w:rPr>
          <w:rFonts w:ascii="微软雅黑" w:eastAsia="微软雅黑" w:hAnsi="微软雅黑" w:hint="eastAsia"/>
          <w:color w:val="333333"/>
          <w:sz w:val="22"/>
          <w:szCs w:val="22"/>
        </w:rPr>
        <w:t>  本规定所称司法人员，是指在人民法院、人民检察院承担办案职责的法官、检察官和司法辅助人员。</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第二十五条</w:t>
      </w:r>
      <w:r w:rsidRPr="00CE7A98">
        <w:rPr>
          <w:rFonts w:ascii="微软雅黑" w:eastAsia="微软雅黑" w:hAnsi="微软雅黑" w:hint="eastAsia"/>
          <w:color w:val="333333"/>
          <w:sz w:val="22"/>
          <w:szCs w:val="22"/>
        </w:rPr>
        <w:t>  军事司法人员依法履行法定职责的保护，军事法规有规定的，从其规定。</w:t>
      </w:r>
    </w:p>
    <w:p w:rsidR="00CE7A98"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第二十六条</w:t>
      </w:r>
      <w:r w:rsidRPr="00CE7A98">
        <w:rPr>
          <w:rFonts w:ascii="微软雅黑" w:eastAsia="微软雅黑" w:hAnsi="微软雅黑" w:hint="eastAsia"/>
          <w:color w:val="333333"/>
          <w:sz w:val="22"/>
          <w:szCs w:val="22"/>
        </w:rPr>
        <w:t>  本规定由中央政法委会同最高人民法院、最高人民检察院解释。</w:t>
      </w:r>
    </w:p>
    <w:p w:rsidR="003B2256" w:rsidRPr="00CE7A98" w:rsidRDefault="00CE7A98" w:rsidP="001237D5">
      <w:pPr>
        <w:pStyle w:val="afa"/>
        <w:shd w:val="clear" w:color="auto" w:fill="FFFFFF"/>
        <w:spacing w:before="0" w:beforeAutospacing="0" w:after="0" w:afterAutospacing="0" w:line="280" w:lineRule="exact"/>
        <w:ind w:firstLine="482"/>
        <w:rPr>
          <w:rFonts w:ascii="微软雅黑" w:eastAsia="微软雅黑" w:hAnsi="微软雅黑"/>
          <w:color w:val="333333"/>
          <w:sz w:val="22"/>
          <w:szCs w:val="22"/>
        </w:rPr>
      </w:pPr>
      <w:r w:rsidRPr="00D37EE5">
        <w:rPr>
          <w:rFonts w:ascii="微软雅黑" w:eastAsia="微软雅黑" w:hAnsi="微软雅黑" w:hint="eastAsia"/>
          <w:b/>
          <w:color w:val="333333"/>
          <w:sz w:val="22"/>
          <w:szCs w:val="22"/>
        </w:rPr>
        <w:t>第二十七条</w:t>
      </w:r>
      <w:r w:rsidRPr="00CE7A98">
        <w:rPr>
          <w:rFonts w:ascii="微软雅黑" w:eastAsia="微软雅黑" w:hAnsi="微软雅黑" w:hint="eastAsia"/>
          <w:color w:val="333333"/>
          <w:sz w:val="22"/>
          <w:szCs w:val="22"/>
        </w:rPr>
        <w:t>  本规定自2016年7月21日起施行。</w:t>
      </w:r>
    </w:p>
    <w:sectPr w:rsidR="003B2256" w:rsidRPr="00CE7A9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DD" w:rsidRDefault="001159DD" w:rsidP="003B2256">
      <w:r>
        <w:separator/>
      </w:r>
    </w:p>
  </w:endnote>
  <w:endnote w:type="continuationSeparator" w:id="0">
    <w:p w:rsidR="001159DD" w:rsidRDefault="001159D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24BCF">
    <w:pPr>
      <w:tabs>
        <w:tab w:val="center" w:pos="4153"/>
        <w:tab w:val="right" w:pos="8306"/>
      </w:tabs>
      <w:rPr>
        <w:rFonts w:ascii="宋体" w:hAnsi="宋体" w:cs="宋体"/>
        <w:sz w:val="28"/>
        <w:szCs w:val="28"/>
      </w:rPr>
    </w:pPr>
    <w:r w:rsidRPr="00A24BCF">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24BC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24BCF">
                  <w:rPr>
                    <w:rFonts w:ascii="宋体" w:hAnsi="宋体" w:cs="宋体" w:hint="eastAsia"/>
                    <w:sz w:val="28"/>
                    <w:szCs w:val="28"/>
                  </w:rPr>
                  <w:fldChar w:fldCharType="separate"/>
                </w:r>
                <w:r w:rsidR="00143413">
                  <w:rPr>
                    <w:rFonts w:ascii="宋体" w:hAnsi="宋体" w:cs="宋体"/>
                    <w:noProof/>
                    <w:sz w:val="28"/>
                    <w:szCs w:val="28"/>
                  </w:rPr>
                  <w:t>2</w:t>
                </w:r>
                <w:r w:rsidR="00A24BC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24BCF">
    <w:pPr>
      <w:tabs>
        <w:tab w:val="center" w:pos="4153"/>
        <w:tab w:val="right" w:pos="8306"/>
      </w:tabs>
      <w:rPr>
        <w:rFonts w:ascii="宋体" w:hAnsi="宋体" w:cs="宋体"/>
        <w:sz w:val="28"/>
        <w:szCs w:val="28"/>
      </w:rPr>
    </w:pPr>
    <w:r w:rsidRPr="00A24BC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24BC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24BCF">
                  <w:rPr>
                    <w:rFonts w:ascii="宋体" w:hAnsi="宋体" w:cs="宋体" w:hint="eastAsia"/>
                    <w:sz w:val="28"/>
                    <w:szCs w:val="28"/>
                  </w:rPr>
                  <w:fldChar w:fldCharType="separate"/>
                </w:r>
                <w:r w:rsidR="00D37EE5">
                  <w:rPr>
                    <w:rFonts w:ascii="宋体" w:hAnsi="宋体" w:cs="宋体"/>
                    <w:noProof/>
                    <w:sz w:val="28"/>
                    <w:szCs w:val="28"/>
                  </w:rPr>
                  <w:t>2</w:t>
                </w:r>
                <w:r w:rsidR="00A24BC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DD" w:rsidRDefault="001159DD" w:rsidP="003B2256">
      <w:r>
        <w:separator/>
      </w:r>
    </w:p>
  </w:footnote>
  <w:footnote w:type="continuationSeparator" w:id="0">
    <w:p w:rsidR="001159DD" w:rsidRDefault="001159D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159DD"/>
    <w:rsid w:val="001237D5"/>
    <w:rsid w:val="00143413"/>
    <w:rsid w:val="001B10E0"/>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A24BCF"/>
    <w:rsid w:val="00C13314"/>
    <w:rsid w:val="00CE7A98"/>
    <w:rsid w:val="00CF39F7"/>
    <w:rsid w:val="00D37EE5"/>
    <w:rsid w:val="00D619CC"/>
    <w:rsid w:val="00D771C4"/>
    <w:rsid w:val="00DD58FE"/>
    <w:rsid w:val="00EC4338"/>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CE7A9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5135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2</Pages>
  <Words>532</Words>
  <Characters>3037</Characters>
  <Application>Microsoft Office Word</Application>
  <DocSecurity>0</DocSecurity>
  <Lines>25</Lines>
  <Paragraphs>7</Paragraphs>
  <ScaleCrop>false</ScaleCrop>
  <Company>Newdaxie</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